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Child Abuse and Neglect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MGL: Part I: Title XVII, Chapter 119, Section 51A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before="15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Section 51A: Reporting of suspected abuse or neglect; mandated reporters; collection of physical evidence; penalties; content of reports; liability; privileged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Section 51A. (a) A mandated reporter who, in his professional capacity, has reasonable cause to believe that a child is suffering physical or emotional injury resulting from: (i) abuse inflicted upon him which causes harm or substantial risk of harm to the child's health or welfare, including sexual abuse; (ii) neglect, including malnutrition; (iii) physical dependence upon an addictive drug at birth, shall immediately communicate with the department orally and, within 48 hours, shall file a written report with the department detailing the suspected abuse or neglect; or (iv) being a sexually exploited child; or (v) being a human trafficking victim as defined by section 20M of chapter 233.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visit the website for a complete citing: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https://malegislature.gov/Laws/GeneralLaws/PartI/TitleXVII/Chapter119/Section51A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