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All students must have an emergency evacuation plan in place if they are having mobility issues such as crutches, wheelchair, etc.  These plans may be for life or temporary because of an injury. </w:t>
      </w:r>
    </w:p>
    <w:p w:rsidR="00000000" w:rsidDel="00000000" w:rsidP="00000000" w:rsidRDefault="00000000" w:rsidRPr="00000000">
      <w:pPr>
        <w:contextualSpacing w:val="0"/>
        <w:jc w:val="center"/>
      </w:pPr>
      <w:r w:rsidDel="00000000" w:rsidR="00000000" w:rsidRPr="00000000">
        <w:rPr>
          <w:b w:val="1"/>
          <w:u w:val="single"/>
          <w:rtl w:val="0"/>
        </w:rPr>
        <w:t xml:space="preserve">Evacuation Plan for individuals with mobility issues</w:t>
      </w:r>
    </w:p>
    <w:p w:rsidR="00000000" w:rsidDel="00000000" w:rsidP="00000000" w:rsidRDefault="00000000" w:rsidRPr="00000000">
      <w:pPr>
        <w:contextualSpacing w:val="0"/>
      </w:pPr>
      <w:r w:rsidDel="00000000" w:rsidR="00000000" w:rsidRPr="00000000">
        <w:rPr>
          <w:rtl w:val="0"/>
        </w:rPr>
        <w:t xml:space="preserve">All schools should have designated areas on each floor for these students and indeed for any person with mobility issues. These designated areas are near the stairwell landings where the call buttons are.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Locate the call buttons near you as you practice your fire drills.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Any person with mobility issues should go there with another person, never alone, press the button and wait.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 button alerts the box that fire department uses when they enter the building.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highlight w:val="yellow"/>
          <w:rtl w:val="0"/>
        </w:rPr>
        <w:t xml:space="preserve">If a life threatening situation is occurring carrying the person out of the building is recommended.  </w:t>
      </w:r>
      <w:r w:rsidDel="00000000" w:rsidR="00000000" w:rsidRPr="00000000">
        <w:rPr>
          <w:highlight w:val="yellow"/>
          <w:rtl w:val="0"/>
        </w:rPr>
        <w:t xml:space="preserve">Staff should </w:t>
      </w:r>
      <w:r w:rsidDel="00000000" w:rsidR="00000000" w:rsidRPr="00000000">
        <w:rPr>
          <w:color w:val="000000"/>
          <w:highlight w:val="yellow"/>
          <w:rtl w:val="0"/>
        </w:rPr>
        <w:t xml:space="preserve">be trained on how to do this safely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The nurse/teacher of the physically impaired person will need to report that they have a student or staff member with this issue to emergency responders as well.</w:t>
      </w:r>
    </w:p>
    <w:p w:rsidR="00000000" w:rsidDel="00000000" w:rsidP="00000000" w:rsidRDefault="00000000" w:rsidRPr="00000000">
      <w:pPr>
        <w:contextualSpacing w:val="0"/>
        <w:jc w:val="center"/>
      </w:pPr>
      <w:r w:rsidDel="00000000" w:rsidR="00000000" w:rsidRPr="00000000">
        <w:rPr>
          <w:b w:val="1"/>
          <w:u w:val="single"/>
          <w:rtl w:val="0"/>
        </w:rPr>
        <w:t xml:space="preserve">For sight and hearing impaired the following needs to be done</w:t>
      </w:r>
    </w:p>
    <w:p w:rsidR="00000000" w:rsidDel="00000000" w:rsidP="00000000" w:rsidRDefault="00000000" w:rsidRPr="00000000">
      <w:pPr>
        <w:contextualSpacing w:val="0"/>
      </w:pPr>
      <w:r w:rsidDel="00000000" w:rsidR="00000000" w:rsidRPr="00000000">
        <w:rPr>
          <w:b w:val="1"/>
          <w:color w:val="000000"/>
          <w:highlight w:val="yellow"/>
          <w:rtl w:val="0"/>
        </w:rPr>
        <w:t xml:space="preserve">Visually Impaired Persons:</w:t>
      </w:r>
      <w:r w:rsidDel="00000000" w:rsidR="00000000" w:rsidRPr="00000000">
        <w:rPr>
          <w:b w:val="1"/>
          <w:rtl w:val="0"/>
        </w:rPr>
        <w:t xml:space="preserve"> </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Most visually impaired persons will be familiar with their immediate surroundings.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In an emergency situation:</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Describe the nature of the emergency and offer to act as a “sighted guide” - offer your elbow and escort him/her to a safe place.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As you walk, describe where you are and advise of any obstacles.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When you have reached safety, orient the person as to where you are and ask if further assistance is needed.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b w:val="1"/>
          <w:color w:val="000000"/>
          <w:highlight w:val="yellow"/>
          <w:rtl w:val="0"/>
        </w:rPr>
        <w:t xml:space="preserve">Hearing Impaired Persons: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Because persons with impaired hearing may not perceive emergency alarms, an alternative warning technique is required. Two methods of warning:</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Write a note describing the emergency and the nearest evacuation route (“Fire. Go out rear door to the right and down, NOW!”).</w:t>
      </w: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Turn the light switch off and on to gain attention, then indicate through gestures what is happening and what to 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