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PRESS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Safe School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[Detail: Time frame], a written threat was discovered at the [Name] High School.  The threat stated that someone was going to bring a gun to school on [Day and Date].  Administration immediately contacted the Police, NEMLEC, (North Eastern Massachusetts Law Enforcement Council), and STARS, (School Threat Assessment and Response System) to assess the viability of the threat and appropriate response strategies.  The School Level Crisis Response Team was activated.  The High School site was swept by law enforcement officials over the weekend and the building was secured pending the opening of school.  Students and parents were contacted using [Connect-Ed] instructing them not to bring backpacks to school on [Day and Date]  and to enter through the front door.  Metal detectors and wands were used on all who entered the [Name] High School.</w:t>
      </w:r>
    </w:p>
    <w:p w:rsidR="00000000" w:rsidDel="00000000" w:rsidP="00000000" w:rsidRDefault="00000000" w:rsidRPr="00000000">
      <w:pPr>
        <w:contextualSpacing w:val="0"/>
      </w:pPr>
      <w:r w:rsidDel="00000000" w:rsidR="00000000" w:rsidRPr="00000000">
        <w:rPr>
          <w:rtl w:val="0"/>
        </w:rPr>
        <w:t xml:space="preserve">The [Name] School administration and police department take any threat very seriously and implemented all measures necessary to ensure the safety of the students and staff of the High School.  The threat remains under investigation and school administration and police will continue at the heightened level through the end of the week.  Thanks to the help and support of the above named agencies and the [Name] School staff, the opening was orderly and classes resumed as usual.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