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24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6"/>
          <w:szCs w:val="36"/>
          <w:rtl w:val="0"/>
        </w:rPr>
        <w:t xml:space="preserve">Inventory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color w:val="994b99"/>
          <w:sz w:val="28"/>
          <w:szCs w:val="28"/>
          <w:rtl w:val="0"/>
        </w:rPr>
        <w:t xml:space="preserve">Doors should be locked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Toiletries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Bucket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Old bed sheet for toiletry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Juice &amp; energy food for Diabetic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Gloves and other first aid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Updated class lists </w:t>
      </w:r>
      <w:r w:rsidDel="00000000" w:rsidR="00000000" w:rsidRPr="00000000">
        <w:rPr>
          <w:rFonts w:ascii="Trebuchet MS" w:cs="Trebuchet MS" w:eastAsia="Trebuchet MS" w:hAnsi="Trebuchet MS"/>
          <w:i w:val="1"/>
          <w:color w:val="914b92"/>
          <w:sz w:val="28"/>
          <w:szCs w:val="28"/>
          <w:rtl w:val="0"/>
        </w:rPr>
        <w:t xml:space="preserve">(in the wall pocket)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Extra/ missing staff/ student lists </w:t>
      </w:r>
      <w:r w:rsidDel="00000000" w:rsidR="00000000" w:rsidRPr="00000000">
        <w:rPr>
          <w:rFonts w:ascii="Trebuchet MS" w:cs="Trebuchet MS" w:eastAsia="Trebuchet MS" w:hAnsi="Trebuchet MS"/>
          <w:i w:val="1"/>
          <w:color w:val="8b3a95"/>
          <w:sz w:val="28"/>
          <w:szCs w:val="28"/>
          <w:rtl w:val="0"/>
        </w:rPr>
        <w:t xml:space="preserve">(in wall pocket)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Flip Chart </w:t>
      </w:r>
      <w:r w:rsidDel="00000000" w:rsidR="00000000" w:rsidRPr="00000000">
        <w:rPr>
          <w:rFonts w:ascii="Trebuchet MS" w:cs="Trebuchet MS" w:eastAsia="Trebuchet MS" w:hAnsi="Trebuchet MS"/>
          <w:color w:val="834e8a"/>
          <w:sz w:val="28"/>
          <w:szCs w:val="28"/>
          <w:rtl w:val="0"/>
        </w:rPr>
        <w:t xml:space="preserve">in wall pocket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Cover for the door window </w:t>
      </w:r>
      <w:r w:rsidDel="00000000" w:rsidR="00000000" w:rsidRPr="00000000">
        <w:rPr>
          <w:rFonts w:ascii="Trebuchet MS" w:cs="Trebuchet MS" w:eastAsia="Trebuchet MS" w:hAnsi="Trebuchet MS"/>
          <w:color w:val="8c518c"/>
          <w:sz w:val="28"/>
          <w:szCs w:val="28"/>
          <w:rtl w:val="0"/>
        </w:rPr>
        <w:t xml:space="preserve">in wall pocket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or close to 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